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0F" w:rsidRDefault="00F55E0F" w:rsidP="00F55E0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99421" cy="592531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695" cy="60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E0F" w:rsidRDefault="00F55E0F" w:rsidP="00F55E0F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F55E0F" w:rsidRDefault="00F55E0F" w:rsidP="00F55E0F">
      <w:pPr>
        <w:pStyle w:val="titulomecset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SECRETARIA DE EDUCAÇÃO PROFISSIONAL E TECNOLÓGICA</w:t>
      </w:r>
    </w:p>
    <w:p w:rsidR="00F55E0F" w:rsidRDefault="00F55E0F" w:rsidP="00F55E0F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INSTITUTO FEDERAL DE EDUCAÇÃO, CIÊNCIA E TECNOLOGIA DE MINAS </w:t>
      </w:r>
      <w:proofErr w:type="gramStart"/>
      <w:r>
        <w:rPr>
          <w:b/>
          <w:bCs/>
          <w:color w:val="000000"/>
          <w:sz w:val="16"/>
          <w:szCs w:val="16"/>
        </w:rPr>
        <w:t>GERAIS</w:t>
      </w:r>
      <w:proofErr w:type="gramEnd"/>
    </w:p>
    <w:p w:rsidR="00F55E0F" w:rsidRDefault="00F55E0F" w:rsidP="00F55E0F">
      <w:pPr>
        <w:pStyle w:val="titulomecsetecifmgcampussetor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Campus São João Evangelista</w:t>
      </w:r>
      <w:r>
        <w:rPr>
          <w:b/>
          <w:bCs/>
          <w:color w:val="000000"/>
          <w:sz w:val="16"/>
          <w:szCs w:val="16"/>
        </w:rPr>
        <w:br/>
        <w:t>Direção Geral</w:t>
      </w:r>
      <w:r>
        <w:rPr>
          <w:b/>
          <w:bCs/>
          <w:color w:val="000000"/>
          <w:sz w:val="16"/>
          <w:szCs w:val="16"/>
        </w:rPr>
        <w:br/>
        <w:t>Gabinete</w:t>
      </w:r>
    </w:p>
    <w:p w:rsidR="00F55E0F" w:rsidRDefault="00F55E0F" w:rsidP="00F55E0F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  <w:proofErr w:type="gramStart"/>
      <w:r>
        <w:rPr>
          <w:color w:val="000000"/>
          <w:sz w:val="16"/>
          <w:szCs w:val="16"/>
        </w:rPr>
        <w:t>Avenida Primeiro de Junho - Bairro Centro -</w:t>
      </w:r>
      <w:proofErr w:type="gramEnd"/>
      <w:r>
        <w:rPr>
          <w:color w:val="000000"/>
          <w:sz w:val="16"/>
          <w:szCs w:val="16"/>
        </w:rPr>
        <w:t xml:space="preserve"> CEP 39705-000 - São João Evangelista - MG</w:t>
      </w:r>
    </w:p>
    <w:p w:rsidR="00F55E0F" w:rsidRDefault="00F55E0F" w:rsidP="00F55E0F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3334122906  - www.ifmg.edu.br</w:t>
      </w:r>
    </w:p>
    <w:p w:rsidR="00F55E0F" w:rsidRDefault="00F55E0F" w:rsidP="00F55E0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EDITAL 004/2022</w:t>
      </w:r>
    </w:p>
    <w:p w:rsidR="00F55E0F" w:rsidRDefault="00F55E0F" w:rsidP="00F55E0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PROCESSO SELETIVO DE VAGAS REMANESCENTES 2022</w:t>
      </w:r>
    </w:p>
    <w:p w:rsidR="00F55E0F" w:rsidRDefault="00F55E0F" w:rsidP="00F55E0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CURSOS DE GRADUAÇÃO</w:t>
      </w:r>
    </w:p>
    <w:p w:rsidR="00F55E0F" w:rsidRDefault="00F55E0F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7FD" w:rsidRDefault="00F55E0F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ANEXO VI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PROPOSTA DE REDAÇÃO</w:t>
      </w:r>
    </w:p>
    <w:p w:rsidR="006977FD" w:rsidRDefault="00F55E0F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TEXTO I</w:t>
      </w:r>
    </w:p>
    <w:p w:rsidR="006977FD" w:rsidRPr="00F55E0F" w:rsidRDefault="00F55E0F">
      <w:pPr>
        <w:ind w:firstLine="720"/>
        <w:jc w:val="both"/>
        <w:rPr>
          <w:sz w:val="24"/>
          <w:szCs w:val="24"/>
        </w:rPr>
      </w:pPr>
      <w:r w:rsidRPr="00F55E0F">
        <w:rPr>
          <w:sz w:val="24"/>
          <w:szCs w:val="24"/>
        </w:rPr>
        <w:t xml:space="preserve">Com 40 horas aulas semanais no ensino presencial, a professora de História Maria José Teixeira diz que, agora, </w:t>
      </w:r>
      <w:proofErr w:type="gramStart"/>
      <w:r w:rsidRPr="00F55E0F">
        <w:rPr>
          <w:sz w:val="24"/>
          <w:szCs w:val="24"/>
        </w:rPr>
        <w:t>a</w:t>
      </w:r>
      <w:proofErr w:type="gramEnd"/>
      <w:r w:rsidRPr="00F55E0F">
        <w:rPr>
          <w:sz w:val="24"/>
          <w:szCs w:val="24"/>
        </w:rPr>
        <w:t xml:space="preserve"> distância, tem trabalhado muito mais.</w:t>
      </w:r>
    </w:p>
    <w:p w:rsidR="006977FD" w:rsidRPr="00F55E0F" w:rsidRDefault="00F55E0F">
      <w:pPr>
        <w:ind w:firstLine="720"/>
        <w:jc w:val="both"/>
        <w:rPr>
          <w:sz w:val="24"/>
          <w:szCs w:val="24"/>
        </w:rPr>
      </w:pPr>
      <w:r w:rsidRPr="00F55E0F">
        <w:rPr>
          <w:sz w:val="24"/>
          <w:szCs w:val="24"/>
        </w:rPr>
        <w:t>Além das dificuldades com as novas plataformas, ela divide o único computador com a filha. “</w:t>
      </w:r>
      <w:proofErr w:type="gramStart"/>
      <w:r w:rsidRPr="00F55E0F">
        <w:rPr>
          <w:sz w:val="24"/>
          <w:szCs w:val="24"/>
        </w:rPr>
        <w:t>Me faz</w:t>
      </w:r>
      <w:proofErr w:type="gramEnd"/>
      <w:r w:rsidRPr="00F55E0F">
        <w:rPr>
          <w:sz w:val="24"/>
          <w:szCs w:val="24"/>
        </w:rPr>
        <w:t xml:space="preserve"> prolon</w:t>
      </w:r>
      <w:r w:rsidRPr="00F55E0F">
        <w:rPr>
          <w:sz w:val="24"/>
          <w:szCs w:val="24"/>
        </w:rPr>
        <w:t>gar meu horário de trabalho. Já postei aula à 1h da manhã para liberar para ela no outro dia”, diz.</w:t>
      </w:r>
    </w:p>
    <w:p w:rsidR="006977FD" w:rsidRPr="00F55E0F" w:rsidRDefault="00F55E0F">
      <w:pPr>
        <w:ind w:firstLine="720"/>
        <w:jc w:val="both"/>
        <w:rPr>
          <w:sz w:val="24"/>
          <w:szCs w:val="24"/>
        </w:rPr>
      </w:pPr>
      <w:r w:rsidRPr="00F55E0F">
        <w:rPr>
          <w:sz w:val="24"/>
          <w:szCs w:val="24"/>
        </w:rPr>
        <w:t>Desde 1994 na rede estadual, lamenta a falta de condições e de entendimento do governo. “Não tenho um bom computador para uso do “</w:t>
      </w:r>
      <w:proofErr w:type="spellStart"/>
      <w:r w:rsidRPr="00F55E0F">
        <w:rPr>
          <w:sz w:val="24"/>
          <w:szCs w:val="24"/>
        </w:rPr>
        <w:t>Meet</w:t>
      </w:r>
      <w:proofErr w:type="spellEnd"/>
      <w:r w:rsidRPr="00F55E0F">
        <w:rPr>
          <w:sz w:val="24"/>
          <w:szCs w:val="24"/>
        </w:rPr>
        <w:t xml:space="preserve">”, por exemplo. Vários alunos não conseguem acessar as plataformas. Fico o dia inteiro no </w:t>
      </w:r>
      <w:proofErr w:type="spellStart"/>
      <w:proofErr w:type="gramStart"/>
      <w:r w:rsidRPr="00F55E0F">
        <w:rPr>
          <w:sz w:val="24"/>
          <w:szCs w:val="24"/>
        </w:rPr>
        <w:t>WhatsApp</w:t>
      </w:r>
      <w:proofErr w:type="spellEnd"/>
      <w:proofErr w:type="gramEnd"/>
      <w:r w:rsidRPr="00F55E0F">
        <w:rPr>
          <w:sz w:val="24"/>
          <w:szCs w:val="24"/>
        </w:rPr>
        <w:t xml:space="preserve"> mandando áudios para di</w:t>
      </w:r>
      <w:r w:rsidRPr="00F55E0F">
        <w:rPr>
          <w:sz w:val="24"/>
          <w:szCs w:val="24"/>
        </w:rPr>
        <w:t>rimir dúvidas.” Mas complementa: “Amo o que faço e tento conscientizar meus alunos sobre a importância do conhecimento para o futuro deles.”</w:t>
      </w:r>
    </w:p>
    <w:p w:rsidR="006977FD" w:rsidRPr="00F55E0F" w:rsidRDefault="00F55E0F">
      <w:pPr>
        <w:rPr>
          <w:sz w:val="18"/>
          <w:szCs w:val="18"/>
        </w:rPr>
      </w:pPr>
      <w:r w:rsidRPr="00F55E0F">
        <w:rPr>
          <w:sz w:val="18"/>
          <w:szCs w:val="18"/>
        </w:rPr>
        <w:t xml:space="preserve">Disponível em: </w:t>
      </w:r>
      <w:proofErr w:type="gramStart"/>
      <w:r w:rsidRPr="00F55E0F">
        <w:rPr>
          <w:sz w:val="18"/>
          <w:szCs w:val="18"/>
        </w:rPr>
        <w:t>https</w:t>
      </w:r>
      <w:proofErr w:type="gramEnd"/>
      <w:r w:rsidRPr="00F55E0F">
        <w:rPr>
          <w:sz w:val="18"/>
          <w:szCs w:val="18"/>
        </w:rPr>
        <w:t>://www.brasildefato.com.br/2020/09/21/relatos-de-sobrecarga-a-dura-vida-de-professor-na-pandemi</w:t>
      </w:r>
      <w:r w:rsidRPr="00F55E0F">
        <w:rPr>
          <w:sz w:val="18"/>
          <w:szCs w:val="18"/>
        </w:rPr>
        <w:t>a. Acesso em: 26 jan. 2022.</w:t>
      </w:r>
    </w:p>
    <w:p w:rsidR="006977FD" w:rsidRDefault="00F55E0F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TEXTO II</w:t>
      </w:r>
    </w:p>
    <w:p w:rsidR="006977FD" w:rsidRDefault="00F55E0F">
      <w:pPr>
        <w:ind w:firstLine="720"/>
        <w:jc w:val="both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Esse desafio nos pede força e coragem. A falta de acesso à internet é um dos nossos grandes desafios. Eu moro na zona rural de Teresina, minha escola fica há quase 50 quilômetros de distância. Quando estávamos tendo aul</w:t>
      </w:r>
      <w:r>
        <w:rPr>
          <w:rFonts w:ascii="Roboto" w:eastAsia="Roboto" w:hAnsi="Roboto" w:cs="Roboto"/>
          <w:sz w:val="24"/>
          <w:szCs w:val="24"/>
        </w:rPr>
        <w:t>a normal, eu acordava às cinco horas da manhã para chegar lá às 7h30. Durante a pandemia, meu maior desafio foi o acesso à internet.</w:t>
      </w:r>
    </w:p>
    <w:p w:rsidR="006977FD" w:rsidRDefault="00F55E0F">
      <w:pPr>
        <w:rPr>
          <w:sz w:val="18"/>
          <w:szCs w:val="18"/>
        </w:rPr>
      </w:pPr>
      <w:r>
        <w:rPr>
          <w:sz w:val="18"/>
          <w:szCs w:val="18"/>
        </w:rPr>
        <w:t xml:space="preserve">Disponível </w:t>
      </w:r>
      <w:proofErr w:type="gramStart"/>
      <w:r>
        <w:rPr>
          <w:sz w:val="18"/>
          <w:szCs w:val="18"/>
        </w:rPr>
        <w:t>em:</w:t>
      </w:r>
      <w:proofErr w:type="gramEnd"/>
      <w:r>
        <w:rPr>
          <w:sz w:val="18"/>
          <w:szCs w:val="18"/>
        </w:rPr>
        <w:t>https://observatoriodeeducacao.institutounibanco.org.br/em-debate/conteudo-multimidia/detalhe/os-desafios-de-</w:t>
      </w:r>
      <w:r>
        <w:rPr>
          <w:sz w:val="18"/>
          <w:szCs w:val="18"/>
        </w:rPr>
        <w:t>estudar-durante-a-pandemia. Acesso em: 26 jan. 2022.</w:t>
      </w:r>
    </w:p>
    <w:p w:rsidR="006977FD" w:rsidRDefault="00F55E0F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TEXTO III</w:t>
      </w:r>
    </w:p>
    <w:p w:rsidR="006977FD" w:rsidRDefault="00F55E0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Um ano e meio desde que a pandemia da COVID-19 ocasionou o fechamento mundial de escolas sem precedentes, muitos estudantes puderam retomar a aprendizagem presencial, mas milhões ainda não volt</w:t>
      </w:r>
      <w:r>
        <w:rPr>
          <w:sz w:val="24"/>
          <w:szCs w:val="24"/>
        </w:rPr>
        <w:t xml:space="preserve">aram às salas de aula. Agora, as escolas estão totalmente abertas em 117 países, com uma população total de 539 </w:t>
      </w:r>
      <w:r>
        <w:rPr>
          <w:sz w:val="24"/>
          <w:szCs w:val="24"/>
        </w:rPr>
        <w:lastRenderedPageBreak/>
        <w:t>milhões de estudantes, da pré-escola até a educação secundária. Isso representa 35% do total da população estudantil de todo o mundo, comparados</w:t>
      </w:r>
      <w:r>
        <w:rPr>
          <w:sz w:val="24"/>
          <w:szCs w:val="24"/>
        </w:rPr>
        <w:t xml:space="preserve"> com os 16% que retornaram às aulas em setembro de 2020, quando as escolas estavam abertas em apenas 94 países.</w:t>
      </w:r>
    </w:p>
    <w:p w:rsidR="006977FD" w:rsidRDefault="00F55E0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Com isso, 117 milhões de estudantes, que representam 7,5% do total da população estudantil, ainda estão sendo afetados pelo fechamento total das</w:t>
      </w:r>
      <w:r>
        <w:rPr>
          <w:sz w:val="24"/>
          <w:szCs w:val="24"/>
        </w:rPr>
        <w:t xml:space="preserve"> escolas em 18 países. </w:t>
      </w:r>
    </w:p>
    <w:p w:rsidR="006977FD" w:rsidRDefault="00F55E0F">
      <w:pPr>
        <w:rPr>
          <w:sz w:val="18"/>
          <w:szCs w:val="18"/>
        </w:rPr>
      </w:pPr>
      <w:r>
        <w:rPr>
          <w:sz w:val="18"/>
          <w:szCs w:val="18"/>
        </w:rPr>
        <w:t xml:space="preserve">Disponível </w:t>
      </w:r>
      <w:proofErr w:type="gramStart"/>
      <w:r>
        <w:rPr>
          <w:sz w:val="18"/>
          <w:szCs w:val="18"/>
        </w:rPr>
        <w:t>em:</w:t>
      </w:r>
      <w:proofErr w:type="gramEnd"/>
      <w:r>
        <w:rPr>
          <w:sz w:val="18"/>
          <w:szCs w:val="18"/>
        </w:rPr>
        <w:t>https://pt.unesco.org/news/unesco-avisa-que-em-todo-o-mundo-117-milhoes-estudantes-ainda-estao-fora-da-escola. Acesso em: 26 jan. 2022</w:t>
      </w:r>
    </w:p>
    <w:p w:rsidR="006977FD" w:rsidRDefault="00F55E0F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977FD" w:rsidRPr="00F55E0F" w:rsidRDefault="00F55E0F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5E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PROPOSTA DE REDAÇÃO</w:t>
      </w:r>
    </w:p>
    <w:p w:rsidR="006977FD" w:rsidRDefault="006977FD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77FD" w:rsidRDefault="00F55E0F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 partir da leitura dos textos motivadores e com base nos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onhecimentos construídos ao longo de sua formação, redija um texto dissertativo-argumentativo em modalidade escrita formal da língua portuguesa sobre o tema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“Conveniência do Ensino Remoto Emergencial durante a pandemia da COVID-19”</w:t>
      </w:r>
      <w:r>
        <w:rPr>
          <w:rFonts w:ascii="Times New Roman" w:eastAsia="Times New Roman" w:hAnsi="Times New Roman" w:cs="Times New Roman"/>
          <w:sz w:val="24"/>
          <w:szCs w:val="24"/>
        </w:rPr>
        <w:t>. Selecione, organize e r</w:t>
      </w:r>
      <w:r>
        <w:rPr>
          <w:rFonts w:ascii="Times New Roman" w:eastAsia="Times New Roman" w:hAnsi="Times New Roman" w:cs="Times New Roman"/>
          <w:sz w:val="24"/>
          <w:szCs w:val="24"/>
        </w:rPr>
        <w:t>elacione, de forma coerente e coesa, argumentos e fatos para a defesa de seu ponto de vista.</w:t>
      </w:r>
    </w:p>
    <w:p w:rsidR="006977FD" w:rsidRDefault="00F55E0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VII - FORMULÁRIO PARA REDAÇÃO</w:t>
      </w:r>
    </w:p>
    <w:p w:rsidR="006977FD" w:rsidRDefault="006977F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2"/>
        <w:tblW w:w="10515" w:type="dxa"/>
        <w:tblInd w:w="-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05"/>
        <w:gridCol w:w="4110"/>
      </w:tblGrid>
      <w:tr w:rsidR="006977FD" w:rsidTr="00F55E0F">
        <w:trPr>
          <w:trHeight w:val="440"/>
        </w:trPr>
        <w:tc>
          <w:tcPr>
            <w:tcW w:w="10515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EDITAL </w:t>
            </w:r>
            <w:r w:rsidRPr="00F55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/2022</w:t>
            </w:r>
          </w:p>
          <w:p w:rsidR="006977FD" w:rsidRDefault="00F55E0F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Seletivo de vagas remanescentes para os CURSOS DE GRADUAÇÃO do IFMG-SJE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completo:</w:t>
            </w:r>
          </w:p>
        </w:tc>
      </w:tr>
      <w:tr w:rsidR="006977FD"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) Bacharelado em Engenharia Florestal (   ) Licenciatura em Matemática (   ) Licenciatura em Ciências Biológicas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Tema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“Conveniência do Ensino Remoto Emergencial durante a pandemia da COVID-19”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977FD">
        <w:trPr>
          <w:trHeight w:val="440"/>
        </w:trPr>
        <w:tc>
          <w:tcPr>
            <w:tcW w:w="10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7FD" w:rsidRDefault="00F55E0F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6977FD" w:rsidRDefault="006977FD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7FD" w:rsidRDefault="00F55E0F" w:rsidP="00F55E0F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F55E0F" w:rsidRDefault="00F55E0F" w:rsidP="00F55E0F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</w:p>
    <w:p w:rsidR="006977FD" w:rsidRDefault="006977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135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977FD">
      <w:pgSz w:w="11906" w:h="16838"/>
      <w:pgMar w:top="1133" w:right="1133" w:bottom="1133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454"/>
    <w:multiLevelType w:val="multilevel"/>
    <w:tmpl w:val="6B04F4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3650126"/>
    <w:multiLevelType w:val="multilevel"/>
    <w:tmpl w:val="761C72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977FD"/>
    <w:rsid w:val="006977FD"/>
    <w:rsid w:val="00F5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D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DEE"/>
    <w:rPr>
      <w:rFonts w:ascii="Segoe UI" w:hAnsi="Segoe UI" w:cs="Segoe UI"/>
      <w:sz w:val="18"/>
      <w:szCs w:val="18"/>
    </w:r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extocentralizado">
    <w:name w:val="texto_centralizado"/>
    <w:basedOn w:val="Normal"/>
    <w:rsid w:val="00F5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mec">
    <w:name w:val="titulo_mec"/>
    <w:basedOn w:val="Normal"/>
    <w:rsid w:val="00F5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mecsetec">
    <w:name w:val="titulo_mec_setec"/>
    <w:basedOn w:val="Normal"/>
    <w:rsid w:val="00F5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mecsetecifmg">
    <w:name w:val="titulo_mec_setec_ifmg"/>
    <w:basedOn w:val="Normal"/>
    <w:rsid w:val="00F5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mecsetecifmgcampussetor">
    <w:name w:val="titulo_mec_setec_ifmg_campus_setor"/>
    <w:basedOn w:val="Normal"/>
    <w:rsid w:val="00F5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mecsetecifmgcampussetordados">
    <w:name w:val="titulo_mec_setec_ifmg_campus_setor_dados"/>
    <w:basedOn w:val="Normal"/>
    <w:rsid w:val="00F5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55E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D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DEE"/>
    <w:rPr>
      <w:rFonts w:ascii="Segoe UI" w:hAnsi="Segoe UI" w:cs="Segoe UI"/>
      <w:sz w:val="18"/>
      <w:szCs w:val="18"/>
    </w:r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extocentralizado">
    <w:name w:val="texto_centralizado"/>
    <w:basedOn w:val="Normal"/>
    <w:rsid w:val="00F5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mec">
    <w:name w:val="titulo_mec"/>
    <w:basedOn w:val="Normal"/>
    <w:rsid w:val="00F5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mecsetec">
    <w:name w:val="titulo_mec_setec"/>
    <w:basedOn w:val="Normal"/>
    <w:rsid w:val="00F5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mecsetecifmg">
    <w:name w:val="titulo_mec_setec_ifmg"/>
    <w:basedOn w:val="Normal"/>
    <w:rsid w:val="00F5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mecsetecifmgcampussetor">
    <w:name w:val="titulo_mec_setec_ifmg_campus_setor"/>
    <w:basedOn w:val="Normal"/>
    <w:rsid w:val="00F5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mecsetecifmgcampussetordados">
    <w:name w:val="titulo_mec_setec_ifmg_campus_setor_dados"/>
    <w:basedOn w:val="Normal"/>
    <w:rsid w:val="00F5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55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ggMm1Rc71w9thq8fkI4EJ4HIjw==">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Alisson</dc:creator>
  <cp:lastModifiedBy>Alceste Metzker dos Santos Gloria</cp:lastModifiedBy>
  <cp:revision>2</cp:revision>
  <dcterms:created xsi:type="dcterms:W3CDTF">2022-01-27T19:53:00Z</dcterms:created>
  <dcterms:modified xsi:type="dcterms:W3CDTF">2022-01-27T19:53:00Z</dcterms:modified>
</cp:coreProperties>
</file>